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9"/>
    <w:p>
      <w:pPr>
        <w:pStyle w:val="Heading1"/>
      </w:pPr>
      <w:r>
        <w:t xml:space="preserve">Homiletics Analysis: Joshua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9 narrates Israel’s deception by the Gibeonites — a Canaanite people from nearby Gibeon who, upon hearing of Israel’s victories at Jericho and Ai, devise an elaborate ruse to secure a peace treaty. Disguising themselves as distant travelers with worn sandals, patched wineskins, dry and crumbly bread, and tattered clothing, they approach Joshua and the leaders of Israel claiming to have come from a far country. The Gibeonites appeal to the reputation of the LORD and the exodus — news of which has reached even their distant lands — and press Israel for a covenant of peace. Israel’s leaders inspect the physical evidence and make a treaty. The text pauses to note the critical failure:</w:t>
      </w:r>
      <w:r>
        <w:t xml:space="preserve"> </w:t>
      </w:r>
      <w:r>
        <w:rPr>
          <w:i/>
          <w:iCs/>
        </w:rPr>
        <w:t xml:space="preserve">they did not ask counsel of the LORD</w:t>
      </w:r>
      <w:r>
        <w:t xml:space="preserve"> </w:t>
      </w:r>
      <w:r>
        <w:t xml:space="preserve">(v. 14). When the deception is discovered three days later, Israel is bound by the oath sworn before the LORD. Joshua confronts the Gibeonites, who acknowledge the truth and appeal to mercy. They are spared — the oath holds — but are cursed to perpetual servitude as woodcutters and water-carriers for the congregation and the altar of God.</w:t>
      </w:r>
    </w:p>
    <w:p>
      <w:pPr>
        <w:pStyle w:val="BodyText"/>
      </w:pPr>
      <w:r>
        <w:rPr>
          <w:b/>
          <w:bCs/>
        </w:rPr>
        <w:t xml:space="preserve">This Text — Intent</w:t>
      </w:r>
    </w:p>
    <w:p>
      <w:pPr>
        <w:pStyle w:val="BodyText"/>
      </w:pPr>
      <w:r>
        <w:t xml:space="preserve">God is warning His people — through Israel’s costly failure — that human wisdom applied to spiritual decisions, no matter how reasonable it appears and no matter how much physical evidence supports it, is no substitute for seeking divine counsel. The narrative does not end in catastrophe but it does end in compromise: Israel is entangled in an oath that constrains their obedience, and a Canaanite people survive who should not have. The intent is not merely historical instruction but a pointed warning to every generation of God’s people: the moment you stop asking and start assuming, you are already in danger. The passage also displays, secondarily, the strange grace of God in preserving life even within the consequences of a failure — the Gibeonites find mercy, and they are absorbed into the service of the sanctuary.</w:t>
      </w:r>
    </w:p>
    <w:p>
      <w:r>
        <w:pict>
          <v:rect style="width:0;height:1.5pt" o:hralign="center" o:hrstd="t" o:hr="t"/>
        </w:pict>
      </w:r>
    </w:p>
    <w:p>
      <w:pPr>
        <w:pStyle w:val="FirstParagraph"/>
      </w:pPr>
      <w:r>
        <w:rPr>
          <w:b/>
          <w:bCs/>
        </w:rPr>
        <w:t xml:space="preserve">Subject Sentence:</w:t>
      </w:r>
      <w:r>
        <w:t xml:space="preserve"> </w:t>
      </w:r>
      <w:r>
        <w:t xml:space="preserve">Israel’s failure to seek the LORD’s counsel leads to a binding oath with Gibeon — with lasting consequences.</w:t>
      </w:r>
    </w:p>
    <w:p>
      <w:r>
        <w:pict>
          <v:rect style="width:0;height:1.5pt" o:hralign="center" o:hrstd="t" o:hr="t"/>
        </w:pict>
      </w:r>
    </w:p>
    <w:p>
      <w:pPr>
        <w:pStyle w:val="FirstParagraph"/>
      </w:pPr>
      <w:r>
        <w:rPr>
          <w:b/>
          <w:bCs/>
        </w:rPr>
        <w:t xml:space="preserve">Primary Claim:</w:t>
      </w:r>
      <w:r>
        <w:t xml:space="preserve"> </w:t>
      </w:r>
      <w:r>
        <w:t xml:space="preserve">God is warning His people that confidence in visible evidence without seeking His counsel is a form of self-reliance that will always cost more than it appears — and the oath you make without Him will bind you in ways you did not intend.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Failure: Negligence or Culpable Self-Sufficiency?</w:t>
      </w:r>
    </w:p>
    <w:p>
      <w:pPr>
        <w:pStyle w:val="BodyText"/>
      </w:pPr>
      <w:r>
        <w:t xml:space="preserve">Some traditions read verse 14 —</w:t>
      </w:r>
      <w:r>
        <w:t xml:space="preserve"> </w:t>
      </w:r>
      <w:r>
        <w:rPr>
          <w:i/>
          <w:iCs/>
        </w:rPr>
        <w:t xml:space="preserve">“they did not ask counsel of the LORD”</w:t>
      </w:r>
      <w:r>
        <w:t xml:space="preserve"> </w:t>
      </w:r>
      <w:r>
        <w:t xml:space="preserve">— as a minor procedural lapse, an oversight in the heat of administrative decision-making. On this reading, the lesson is practical: consult God on important matters. This reading is not wrong, but it is thin. The broader narrative context resists it. Israel has been explicitly commanded to make no covenant with the peoples of Canaan (Exodus 23:32; 34:12; Deuteronomy 7:2). The inspection of the Gibeonites’ provisions (v. 14) is not a neutral administrative act — it is Israel substituting sensory evidence for divine instruction. The text places the notation of failure</w:t>
      </w:r>
      <w:r>
        <w:t xml:space="preserve"> </w:t>
      </w:r>
      <w:r>
        <w:rPr>
          <w:i/>
          <w:iCs/>
        </w:rPr>
        <w:t xml:space="preserve">immediately after</w:t>
      </w:r>
      <w:r>
        <w:t xml:space="preserve"> </w:t>
      </w:r>
      <w:r>
        <w:t xml:space="preserve">the physical inspection and</w:t>
      </w:r>
      <w:r>
        <w:t xml:space="preserve"> </w:t>
      </w:r>
      <w:r>
        <w:rPr>
          <w:i/>
          <w:iCs/>
        </w:rPr>
        <w:t xml:space="preserve">immediately before</w:t>
      </w:r>
      <w:r>
        <w:t xml:space="preserve"> </w:t>
      </w:r>
      <w:r>
        <w:t xml:space="preserve">the treaty is made, making the connection between empirical confidence and failed inquiry unmistakable. This is not forgetfulness — it is self-sufficiency dressed as discernment.</w:t>
      </w:r>
    </w:p>
    <w:p>
      <w:pPr>
        <w:pStyle w:val="BodyText"/>
      </w:pPr>
      <w:r>
        <w:rPr>
          <w:b/>
          <w:bCs/>
        </w:rPr>
        <w:t xml:space="preserve">Dispensational Readings: Israel-Specific Warning</w:t>
      </w:r>
    </w:p>
    <w:p>
      <w:pPr>
        <w:pStyle w:val="BodyText"/>
      </w:pPr>
      <w:r>
        <w:t xml:space="preserve">Dispensational interpreters often locate the primary weight of this passage in its Israel-specific, theocratic context: the Canaanite conquest is a unique redemptive-historical moment with specific covenant commands that do not transfer directly to the church. This reading rightly guards against misapplication — the church is not engaged in holy war, and not every Canaanite parallels every non-Christian today. However, the principle embedded in verse 14 (</w:t>
      </w:r>
      <w:r>
        <w:rPr>
          <w:i/>
          <w:iCs/>
        </w:rPr>
        <w:t xml:space="preserve">they did not ask counsel of the LORD</w:t>
      </w:r>
      <w:r>
        <w:t xml:space="preserve">) is not a theocratic peculiarity — it is a creational and covenantal constant. The wisdom literature (Proverbs 3:5-7; 16:9), the prophets (Isaiah 30:1-2), and the New Testament (James 1:5; 4:13-15) all extend this exact principle beyond Israel’s theocratic moment. The Reformed reading acknowledges the theocratic context without restricting the principle to it.</w:t>
      </w:r>
    </w:p>
    <w:p>
      <w:pPr>
        <w:pStyle w:val="BodyText"/>
      </w:pPr>
      <w:r>
        <w:rPr>
          <w:b/>
          <w:bCs/>
        </w:rPr>
        <w:t xml:space="preserve">Charismatic/Pietist Emphasis: The Act of Seeking</w:t>
      </w:r>
    </w:p>
    <w:p>
      <w:pPr>
        <w:pStyle w:val="BodyText"/>
      </w:pPr>
      <w:r>
        <w:t xml:space="preserve">Some Charismatic and Pietist interpreters place the primary weight on the act of seeking — Israel’s failure to pray, to inquire at the Urim and Thummim, to engage in formal consultation. On this reading, the lesson is about spiritual disciplines of guidance: if Israel had prayed, they would have received a clear supernatural word and avoided the treaty. This reading rightly emphasizes the necessity of seeking God before acting. However, it risks reducing the passage to a guidance-technique problem: the issue is not that Israel forgot a procedure but that they trusted their senses over God’s word. The Reformed reading places the emphasis on the</w:t>
      </w:r>
      <w:r>
        <w:t xml:space="preserve"> </w:t>
      </w:r>
      <w:r>
        <w:rPr>
          <w:i/>
          <w:iCs/>
        </w:rPr>
        <w:t xml:space="preserve">posture</w:t>
      </w:r>
      <w:r>
        <w:t xml:space="preserve"> </w:t>
      </w:r>
      <w:r>
        <w:t xml:space="preserve">behind the failure — self-reliance — not merely the absence of a ritual act.</w:t>
      </w:r>
    </w:p>
    <w:p>
      <w:pPr>
        <w:pStyle w:val="BodyText"/>
      </w:pPr>
      <w:r>
        <w:rPr>
          <w:b/>
          <w:bCs/>
        </w:rPr>
        <w:t xml:space="preserve">The Oath: Binding or Breakable?</w:t>
      </w:r>
    </w:p>
    <w:p>
      <w:pPr>
        <w:pStyle w:val="BodyText"/>
      </w:pPr>
      <w:r>
        <w:t xml:space="preserve">Later in Joshua (chapters 10-11), Israel defends Gibeon against attack, and 2 Samuel 21 records God’s judgment on Israel for Saul’s later violation of this oath. Some interpreters have argued the oath was made in error and could legitimately have been broken — a sworn treaty based on deception should not bind. The text itself refuses this reading. The elders’ response in verse 19 is decisive:</w:t>
      </w:r>
      <w:r>
        <w:t xml:space="preserve"> </w:t>
      </w:r>
      <w:r>
        <w:rPr>
          <w:i/>
          <w:iCs/>
        </w:rPr>
        <w:t xml:space="preserve">“We have sworn to them by the LORD, the God of Israel, now therefore we may not touch them.”</w:t>
      </w:r>
      <w:r>
        <w:t xml:space="preserve"> </w:t>
      </w:r>
      <w:r>
        <w:t xml:space="preserve">The binding force of an oath sworn before the LORD does not dissolve because it was made under deception. The Reformed reading takes seriously both the inviolability of oaths sworn before God and the pastoral weight of that reality: consequences do not evaporate simply because the decision that produced them was understandable or manipulated.</w:t>
      </w:r>
    </w:p>
    <w:p>
      <w:pPr>
        <w:pStyle w:val="BodyText"/>
      </w:pPr>
      <w:r>
        <w:rPr>
          <w:b/>
          <w:bCs/>
        </w:rPr>
        <w:t xml:space="preserve">The Gibeonites’ Absorption: Grace Within Judgment</w:t>
      </w:r>
    </w:p>
    <w:p>
      <w:pPr>
        <w:pStyle w:val="BodyText"/>
      </w:pPr>
      <w:r>
        <w:t xml:space="preserve">The Gibeonites’ fate — perpetual servitude in the sanctuary — is variously read as pure punishment, as pragmatic compromise, or as a surprising note of grace. The Reformed reading embraces the complexity: it is all three simultaneously. They are cursed, they are servants, and yet they are alive and brought near to the place of worship. The later references to Gibeonites in 2 Samuel 21 and Nehemiah 3:7 suggest a people who did not disappear but remained connected to Israel’s story. The gospel sensitivity of the Reformed tradition will notice that the nations finding mercy — even within the structure of judgment — is a thread woven across the whole canon.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23:32; Deuteronomy 7:2</w:t>
      </w:r>
      <w:r>
        <w:t xml:space="preserve"> </w:t>
      </w:r>
      <w:r>
        <w:t xml:space="preserve">— The explicit prohibition against making covenants with Canaanite peoples, which Israel’s treaty with Gibeon directly violates; establishes the weight of the failure.</w:t>
      </w:r>
    </w:p>
    <w:p>
      <w:pPr>
        <w:numPr>
          <w:ilvl w:val="0"/>
          <w:numId w:val="1001"/>
        </w:numPr>
      </w:pPr>
      <w:r>
        <w:rPr>
          <w:b/>
          <w:bCs/>
        </w:rPr>
        <w:t xml:space="preserve">Proverbs 3:5–7</w:t>
      </w:r>
      <w:r>
        <w:t xml:space="preserve"> </w:t>
      </w:r>
      <w:r>
        <w:t xml:space="preserve">—</w:t>
      </w:r>
      <w:r>
        <w:t xml:space="preserve"> </w:t>
      </w:r>
      <w:r>
        <w:rPr>
          <w:i/>
          <w:iCs/>
        </w:rPr>
        <w:t xml:space="preserve">“Trust in the LORD with all your heart and do not lean on your own understanding”</w:t>
      </w:r>
      <w:r>
        <w:t xml:space="preserve"> </w:t>
      </w:r>
      <w:r>
        <w:t xml:space="preserve">— the wisdom literature’s direct parallel to Israel’s failure; what Proverbs commands, Joshua 9 illustrates the cost of neglecting.</w:t>
      </w:r>
    </w:p>
    <w:p>
      <w:pPr>
        <w:numPr>
          <w:ilvl w:val="0"/>
          <w:numId w:val="1001"/>
        </w:numPr>
      </w:pPr>
      <w:r>
        <w:rPr>
          <w:b/>
          <w:bCs/>
        </w:rPr>
        <w:t xml:space="preserve">Isaiah 30:1–2</w:t>
      </w:r>
      <w:r>
        <w:t xml:space="preserve"> </w:t>
      </w:r>
      <w:r>
        <w:t xml:space="preserve">— The LORD’s indictment of Israel for forming alliances without consulting Him:</w:t>
      </w:r>
      <w:r>
        <w:t xml:space="preserve"> </w:t>
      </w:r>
      <w:r>
        <w:rPr>
          <w:i/>
          <w:iCs/>
        </w:rPr>
        <w:t xml:space="preserve">“They carry out a plan, but not mine… who set out to go down to Egypt without asking for my direction”</w:t>
      </w:r>
      <w:r>
        <w:t xml:space="preserve"> </w:t>
      </w:r>
      <w:r>
        <w:t xml:space="preserve">— the prophetic application of the same principle across centuries.</w:t>
      </w:r>
    </w:p>
    <w:p>
      <w:pPr>
        <w:numPr>
          <w:ilvl w:val="0"/>
          <w:numId w:val="1001"/>
        </w:numPr>
      </w:pPr>
      <w:r>
        <w:rPr>
          <w:b/>
          <w:bCs/>
        </w:rPr>
        <w:t xml:space="preserve">2 Samuel 21:1–9</w:t>
      </w:r>
      <w:r>
        <w:t xml:space="preserve"> </w:t>
      </w:r>
      <w:r>
        <w:t xml:space="preserve">— Saul’s violation of the Gibeonite oath produces famine in David’s time; establishes that oaths sworn before the LORD bind across generations and that consequences for covenant failure are real and durable.</w:t>
      </w:r>
    </w:p>
    <w:p>
      <w:pPr>
        <w:numPr>
          <w:ilvl w:val="0"/>
          <w:numId w:val="1001"/>
        </w:numPr>
      </w:pPr>
      <w:r>
        <w:rPr>
          <w:b/>
          <w:bCs/>
        </w:rPr>
        <w:t xml:space="preserve">James 1:5; 4:13–15</w:t>
      </w:r>
      <w:r>
        <w:t xml:space="preserve"> </w:t>
      </w:r>
      <w:r>
        <w:t xml:space="preserve">— New Testament extensions of the same principle: seek wisdom from God before acting; do not presume on tomorrow or on your own plans without acknowledging the LORD; the Gibeonite episode translated into apostolic instruction.</w:t>
      </w:r>
    </w:p>
    <w:p>
      <w:r>
        <w:pict>
          <v:rect style="width:0;height:1.5pt" o:hralign="center" o:hrstd="t" o:hr="t"/>
        </w:pict>
      </w:r>
    </w:p>
    <w:p>
      <w:pPr>
        <w:pStyle w:val="FirstParagraph"/>
      </w:pPr>
      <w:r>
        <w:rPr>
          <w:b/>
          <w:bCs/>
        </w:rPr>
        <w:t xml:space="preserve">Aim:</w:t>
      </w:r>
      <w:r>
        <w:t xml:space="preserve"> </w:t>
      </w:r>
      <w:r>
        <w:t xml:space="preserve">To show that the failure to seek God’s counsel is not a minor procedural lapse but a form of self-reliance with binding and lasting consequences — and to press every reader toward the habitual posture of seeking before acting.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kings of Canaan hear of Israel’s victories and form a coalition against them</w:t>
            </w:r>
          </w:p>
        </w:tc>
        <w:tc>
          <w:tcPr/>
          <w:p>
            <w:pPr>
              <w:pStyle w:val="Compact"/>
            </w:pPr>
            <w:r>
              <w:t xml:space="preserve">Sets the geopolitical context; most enemies respond with military opposition</w:t>
            </w:r>
          </w:p>
        </w:tc>
      </w:tr>
      <w:tr>
        <w:tc>
          <w:tcPr/>
          <w:p>
            <w:pPr>
              <w:pStyle w:val="Compact"/>
            </w:pPr>
            <w:r>
              <w:t xml:space="preserve">3–5</w:t>
            </w:r>
          </w:p>
        </w:tc>
        <w:tc>
          <w:tcPr/>
          <w:p>
            <w:pPr>
              <w:pStyle w:val="Compact"/>
            </w:pPr>
            <w:r>
              <w:t xml:space="preserve">Gibeonites hear of the same victories but choose deception rather than combat; prepare worn provisions and disguises</w:t>
            </w:r>
          </w:p>
        </w:tc>
        <w:tc>
          <w:tcPr/>
          <w:p>
            <w:pPr>
              <w:pStyle w:val="Compact"/>
            </w:pPr>
            <w:r>
              <w:t xml:space="preserve">Strategic contrast: Gibeon responds differently — with cunning rather than force</w:t>
            </w:r>
          </w:p>
        </w:tc>
      </w:tr>
      <w:tr>
        <w:tc>
          <w:tcPr/>
          <w:p>
            <w:pPr>
              <w:pStyle w:val="Compact"/>
            </w:pPr>
            <w:r>
              <w:t xml:space="preserve">6–8</w:t>
            </w:r>
          </w:p>
        </w:tc>
        <w:tc>
          <w:tcPr/>
          <w:p>
            <w:pPr>
              <w:pStyle w:val="Compact"/>
            </w:pPr>
            <w:r>
              <w:t xml:space="preserve">Gibeonites arrive at Gilgal and present themselves as distant travelers seeking a covenant of peace; Joshua and the men of Israel ask probing questions</w:t>
            </w:r>
          </w:p>
        </w:tc>
        <w:tc>
          <w:tcPr/>
          <w:p>
            <w:pPr>
              <w:pStyle w:val="Compact"/>
            </w:pPr>
            <w:r>
              <w:t xml:space="preserve">Israel is not credulous — they do press back (v. 7); the failure is not gullibility but failure to go further</w:t>
            </w:r>
          </w:p>
        </w:tc>
      </w:tr>
      <w:tr>
        <w:tc>
          <w:tcPr/>
          <w:p>
            <w:pPr>
              <w:pStyle w:val="Compact"/>
            </w:pPr>
            <w:r>
              <w:t xml:space="preserve">9–13</w:t>
            </w:r>
          </w:p>
        </w:tc>
        <w:tc>
          <w:tcPr/>
          <w:p>
            <w:pPr>
              <w:pStyle w:val="Compact"/>
            </w:pPr>
            <w:r>
              <w:t xml:space="preserve">Gibeonites elaborate their story: they claim to have come because of the LORD’s fame; point to the worn provisions as evidence of the long journey</w:t>
            </w:r>
          </w:p>
        </w:tc>
        <w:tc>
          <w:tcPr/>
          <w:p>
            <w:pPr>
              <w:pStyle w:val="Compact"/>
            </w:pPr>
            <w:r>
              <w:t xml:space="preserve">They shrewdly invoke the LORD’s name and reputation, not merely self-interest</w:t>
            </w:r>
          </w:p>
        </w:tc>
      </w:tr>
      <w:tr>
        <w:tc>
          <w:tcPr/>
          <w:p>
            <w:pPr>
              <w:pStyle w:val="Compact"/>
            </w:pPr>
            <w:r>
              <w:t xml:space="preserve">14</w:t>
            </w:r>
          </w:p>
        </w:tc>
        <w:tc>
          <w:tcPr/>
          <w:p>
            <w:pPr>
              <w:pStyle w:val="Compact"/>
            </w:pPr>
            <w:r>
              <w:t xml:space="preserve">The men of Israel sample the provisions and</w:t>
            </w:r>
            <w:r>
              <w:t xml:space="preserve"> </w:t>
            </w:r>
            <w:r>
              <w:rPr>
                <w:i/>
                <w:iCs/>
              </w:rPr>
              <w:t xml:space="preserve">do not ask counsel of the LORD</w:t>
            </w:r>
          </w:p>
        </w:tc>
        <w:tc>
          <w:tcPr/>
          <w:p>
            <w:pPr>
              <w:pStyle w:val="Compact"/>
            </w:pPr>
            <w:r>
              <w:t xml:space="preserve">The pivot verse of the entire narrative — the critical failure stated without elaboration</w:t>
            </w:r>
          </w:p>
        </w:tc>
      </w:tr>
      <w:tr>
        <w:tc>
          <w:tcPr/>
          <w:p>
            <w:pPr>
              <w:pStyle w:val="Compact"/>
            </w:pPr>
            <w:r>
              <w:t xml:space="preserve">15</w:t>
            </w:r>
          </w:p>
        </w:tc>
        <w:tc>
          <w:tcPr/>
          <w:p>
            <w:pPr>
              <w:pStyle w:val="Compact"/>
            </w:pPr>
            <w:r>
              <w:t xml:space="preserve">Joshua makes peace with them and the leaders swear an oath to them</w:t>
            </w:r>
          </w:p>
        </w:tc>
        <w:tc>
          <w:tcPr/>
          <w:p>
            <w:pPr>
              <w:pStyle w:val="Compact"/>
            </w:pPr>
            <w:r>
              <w:t xml:space="preserve">The binding act follows immediately on the uninquired decision</w:t>
            </w:r>
          </w:p>
        </w:tc>
      </w:tr>
      <w:tr>
        <w:tc>
          <w:tcPr/>
          <w:p>
            <w:pPr>
              <w:pStyle w:val="Compact"/>
            </w:pPr>
            <w:r>
              <w:t xml:space="preserve">16–17</w:t>
            </w:r>
          </w:p>
        </w:tc>
        <w:tc>
          <w:tcPr/>
          <w:p>
            <w:pPr>
              <w:pStyle w:val="Compact"/>
            </w:pPr>
            <w:r>
              <w:t xml:space="preserve">Three days later Israel discovers the deception; they reach Gibeonite cities but do not strike them</w:t>
            </w:r>
          </w:p>
        </w:tc>
        <w:tc>
          <w:tcPr/>
          <w:p>
            <w:pPr>
              <w:pStyle w:val="Compact"/>
            </w:pPr>
            <w:r>
              <w:t xml:space="preserve">The oath already constrains Israel’s freedom — the consequences arrive immediately</w:t>
            </w:r>
          </w:p>
        </w:tc>
      </w:tr>
      <w:tr>
        <w:tc>
          <w:tcPr/>
          <w:p>
            <w:pPr>
              <w:pStyle w:val="Compact"/>
            </w:pPr>
            <w:r>
              <w:t xml:space="preserve">18–21</w:t>
            </w:r>
          </w:p>
        </w:tc>
        <w:tc>
          <w:tcPr/>
          <w:p>
            <w:pPr>
              <w:pStyle w:val="Compact"/>
            </w:pPr>
            <w:r>
              <w:t xml:space="preserve">The congregation grumbles; the leaders affirm the oath’s inviolability because it was sworn by the LORD; the leaders announce the Gibeonites will be servants</w:t>
            </w:r>
          </w:p>
        </w:tc>
        <w:tc>
          <w:tcPr/>
          <w:p>
            <w:pPr>
              <w:pStyle w:val="Compact"/>
            </w:pPr>
            <w:r>
              <w:t xml:space="preserve">The leaders show greater integrity than the congregation is initially willing to grant</w:t>
            </w:r>
          </w:p>
        </w:tc>
      </w:tr>
      <w:tr>
        <w:tc>
          <w:tcPr/>
          <w:p>
            <w:pPr>
              <w:pStyle w:val="Compact"/>
            </w:pPr>
            <w:r>
              <w:t xml:space="preserve">22–25</w:t>
            </w:r>
          </w:p>
        </w:tc>
        <w:tc>
          <w:tcPr/>
          <w:p>
            <w:pPr>
              <w:pStyle w:val="Compact"/>
            </w:pPr>
            <w:r>
              <w:t xml:space="preserve">Joshua summons and confronts the Gibeonites; they acknowledge the truth and cast themselves on Joshua’s mercy</w:t>
            </w:r>
          </w:p>
        </w:tc>
        <w:tc>
          <w:tcPr/>
          <w:p>
            <w:pPr>
              <w:pStyle w:val="Compact"/>
            </w:pPr>
            <w:r>
              <w:t xml:space="preserve">The Gibeonites show remarkable transparency and theological clarity:</w:t>
            </w:r>
            <w:r>
              <w:t xml:space="preserve"> </w:t>
            </w:r>
            <w:r>
              <w:rPr>
                <w:i/>
                <w:iCs/>
              </w:rPr>
              <w:t xml:space="preserve">“we feared for our lives”</w:t>
            </w:r>
            <w:r>
              <w:t xml:space="preserve"> </w:t>
            </w:r>
            <w:r>
              <w:t xml:space="preserve">(v. 24)</w:t>
            </w:r>
          </w:p>
        </w:tc>
      </w:tr>
      <w:tr>
        <w:tc>
          <w:tcPr/>
          <w:p>
            <w:pPr>
              <w:pStyle w:val="Compact"/>
            </w:pPr>
            <w:r>
              <w:t xml:space="preserve">26–27</w:t>
            </w:r>
          </w:p>
        </w:tc>
        <w:tc>
          <w:tcPr/>
          <w:p>
            <w:pPr>
              <w:pStyle w:val="Compact"/>
            </w:pPr>
            <w:r>
              <w:t xml:space="preserve">Joshua spares them but assigns them to perpetual labor as woodcutters and water-carriers for the congregation and the altar</w:t>
            </w:r>
          </w:p>
        </w:tc>
        <w:tc>
          <w:tcPr/>
          <w:p>
            <w:pPr>
              <w:pStyle w:val="Compact"/>
            </w:pPr>
            <w:r>
              <w:t xml:space="preserve">Grace within judgment: they survive and are brought into proximity to the sanctuary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Coalition of Kings — Israel’s enemies respond to victory with military opposition</w:t>
            </w:r>
          </w:p>
        </w:tc>
      </w:tr>
      <w:tr>
        <w:tc>
          <w:tcPr/>
          <w:p>
            <w:pPr>
              <w:pStyle w:val="Compact"/>
            </w:pPr>
            <w:r>
              <w:t xml:space="preserve">2</w:t>
            </w:r>
          </w:p>
        </w:tc>
        <w:tc>
          <w:tcPr/>
          <w:p>
            <w:pPr>
              <w:pStyle w:val="Compact"/>
            </w:pPr>
            <w:r>
              <w:t xml:space="preserve">3–13</w:t>
            </w:r>
          </w:p>
        </w:tc>
        <w:tc>
          <w:tcPr/>
          <w:p>
            <w:pPr>
              <w:pStyle w:val="Compact"/>
            </w:pPr>
            <w:r>
              <w:t xml:space="preserve">The Deception of Gibeon — a different response: cunning, disguise, and a fabricated appeal</w:t>
            </w:r>
          </w:p>
        </w:tc>
      </w:tr>
      <w:tr>
        <w:tc>
          <w:tcPr/>
          <w:p>
            <w:pPr>
              <w:pStyle w:val="Compact"/>
            </w:pPr>
            <w:r>
              <w:t xml:space="preserve">3</w:t>
            </w:r>
          </w:p>
        </w:tc>
        <w:tc>
          <w:tcPr/>
          <w:p>
            <w:pPr>
              <w:pStyle w:val="Compact"/>
            </w:pPr>
            <w:r>
              <w:t xml:space="preserve">14–15</w:t>
            </w:r>
          </w:p>
        </w:tc>
        <w:tc>
          <w:tcPr/>
          <w:p>
            <w:pPr>
              <w:pStyle w:val="Compact"/>
            </w:pPr>
            <w:r>
              <w:t xml:space="preserve">The Fatal Omission — Israel samples the evidence and acts without seeking the LORD</w:t>
            </w:r>
          </w:p>
        </w:tc>
      </w:tr>
      <w:tr>
        <w:tc>
          <w:tcPr/>
          <w:p>
            <w:pPr>
              <w:pStyle w:val="Compact"/>
            </w:pPr>
            <w:r>
              <w:t xml:space="preserve">4</w:t>
            </w:r>
          </w:p>
        </w:tc>
        <w:tc>
          <w:tcPr/>
          <w:p>
            <w:pPr>
              <w:pStyle w:val="Compact"/>
            </w:pPr>
            <w:r>
              <w:t xml:space="preserve">16–21</w:t>
            </w:r>
          </w:p>
        </w:tc>
        <w:tc>
          <w:tcPr/>
          <w:p>
            <w:pPr>
              <w:pStyle w:val="Compact"/>
            </w:pPr>
            <w:r>
              <w:t xml:space="preserve">The Oath Holds — discovery, grumbling, and the leaders’ defense of the inviolable covenant</w:t>
            </w:r>
          </w:p>
        </w:tc>
      </w:tr>
      <w:tr>
        <w:tc>
          <w:tcPr/>
          <w:p>
            <w:pPr>
              <w:pStyle w:val="Compact"/>
            </w:pPr>
            <w:r>
              <w:t xml:space="preserve">5</w:t>
            </w:r>
          </w:p>
        </w:tc>
        <w:tc>
          <w:tcPr/>
          <w:p>
            <w:pPr>
              <w:pStyle w:val="Compact"/>
            </w:pPr>
            <w:r>
              <w:t xml:space="preserve">22–27</w:t>
            </w:r>
          </w:p>
        </w:tc>
        <w:tc>
          <w:tcPr/>
          <w:p>
            <w:pPr>
              <w:pStyle w:val="Compact"/>
            </w:pPr>
            <w:r>
              <w:t xml:space="preserve">Confrontation and Consequence — Joshua’s verdict: life under curse, service at the altar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failure to seek the LORD’s counsel leads to a binding oath with Gibeon — with lasting consequences.</w:t>
      </w:r>
    </w:p>
    <w:p>
      <w:pPr>
        <w:pStyle w:val="BodyText"/>
      </w:pPr>
      <w:r>
        <w:rPr>
          <w:b/>
          <w:bCs/>
        </w:rPr>
        <w:t xml:space="preserve">Primary Claim:</w:t>
      </w:r>
      <w:r>
        <w:t xml:space="preserve"> </w:t>
      </w:r>
      <w:r>
        <w:t xml:space="preserve">God is warning His people that confidence in visible evidence without seeking His counsel is a form of self-reliance that will always cost more than it appears — and the oath you make without Him will bind you in ways you did not intend.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decisions you are making right now based solely on what you can see.</w:t>
      </w:r>
      <w:r>
        <w:t xml:space="preserve"> </w:t>
      </w:r>
      <w:r>
        <w:rPr>
          <w:i/>
          <w:iCs/>
        </w:rPr>
        <w:t xml:space="preserve">(Mind/Belief)</w:t>
      </w:r>
      <w:r>
        <w:t xml:space="preserve"> </w:t>
      </w:r>
      <w:r>
        <w:t xml:space="preserve">Israel did not fail to look — they looked carefully, inspected thoroughly, and the evidence seemed conclusive. Their failure was not carelessness but an unexamined confidence that what they could see was sufficient. Every believer has decisions in progress where the evidence looks clear and the trajectory seems obvious. This passage demands the uncomfortable question: Have you asked? The inspection of the wineskins and bread was not wrong — stopping there was. Right now, in whatever decision you are in the middle of, the question is not whether you have looked at the evidence but whether you have knelt.</w:t>
      </w:r>
    </w:p>
    <w:p>
      <w:pPr>
        <w:pStyle w:val="BodyText"/>
      </w:pPr>
      <w:r>
        <w:rPr>
          <w:b/>
          <w:bCs/>
        </w:rPr>
        <w:t xml:space="preserve">2. Repent of treating prayer as a last resort after evidence is already sufficient.</w:t>
      </w:r>
      <w:r>
        <w:t xml:space="preserve"> </w:t>
      </w:r>
      <w:r>
        <w:rPr>
          <w:i/>
          <w:iCs/>
        </w:rPr>
        <w:t xml:space="preserve">(Affections/Worship)</w:t>
      </w:r>
      <w:r>
        <w:t xml:space="preserve"> </w:t>
      </w:r>
      <w:r>
        <w:t xml:space="preserve">The structure of Joshua 9:14 is the structure of much of our prayer life:</w:t>
      </w:r>
      <w:r>
        <w:t xml:space="preserve"> </w:t>
      </w:r>
      <w:r>
        <w:rPr>
          <w:i/>
          <w:iCs/>
        </w:rPr>
        <w:t xml:space="preserve">they sampled the provisions — then made the treaty — and did not ask counsel of the LORD.</w:t>
      </w:r>
      <w:r>
        <w:t xml:space="preserve"> </w:t>
      </w:r>
      <w:r>
        <w:t xml:space="preserve">Prayer appears nowhere. It was not sought after the investigation; it was absent entirely. For most believers, prayer functions as a petition for God to bless a decision already made or as a crisis response when visible resources fail. This passage calls for grief over that posture — not merely a behavioral adjustment but a change in what we believe about God’s knowledge versus our own. We sample the provisions because deep down we trust the provisions more than we trust the One who governs all provisions.</w:t>
      </w:r>
    </w:p>
    <w:p>
      <w:pPr>
        <w:pStyle w:val="BodyText"/>
      </w:pPr>
      <w:r>
        <w:rPr>
          <w:b/>
          <w:bCs/>
        </w:rPr>
        <w:t xml:space="preserve">3. Acknowledge that self-reliance always costs more than it saves.</w:t>
      </w:r>
      <w:r>
        <w:t xml:space="preserve"> </w:t>
      </w:r>
      <w:r>
        <w:rPr>
          <w:i/>
          <w:iCs/>
        </w:rPr>
        <w:t xml:space="preserve">(Mind/Belief)</w:t>
      </w:r>
      <w:r>
        <w:t xml:space="preserve"> </w:t>
      </w:r>
      <w:r>
        <w:t xml:space="preserve">The leaders of Israel made what appeared to be a reasonable, harmless decision: preserve peace with a distant people who pose no threat. The actual cost was an oath that would bind Israel for generations, constrain their freedom in the land, require blood atonement under David centuries later (2 Samuel 21), and permanently establish a Canaanite enclave in their midst. Self-reliance appears efficient. It never is. Every believer who has acted on complete visible confidence and left God uninvited has paid a price that exceeded the apparent savings. This is not punishment theology — it is the grain of the universe: we were not made to navigate life on our own sight, and the universe will remind us of this at cost.</w:t>
      </w:r>
    </w:p>
    <w:p>
      <w:pPr>
        <w:pStyle w:val="BodyText"/>
      </w:pPr>
      <w:r>
        <w:rPr>
          <w:b/>
          <w:bCs/>
        </w:rPr>
        <w:t xml:space="preserve">4. Stop grumbling when leaders defend commitments made under pressure — and start building a culture of seeking God</w:t>
      </w:r>
      <w:r>
        <w:rPr>
          <w:b/>
          <w:bCs/>
        </w:rPr>
        <w:t xml:space="preserve"> </w:t>
      </w:r>
      <w:r>
        <w:rPr>
          <w:b/>
          <w:bCs/>
          <w:i/>
          <w:iCs/>
        </w:rPr>
        <w:t xml:space="preserve">before</w:t>
      </w:r>
      <w:r>
        <w:rPr>
          <w:b/>
          <w:bCs/>
        </w:rPr>
        <w:t xml:space="preserve"> </w:t>
      </w:r>
      <w:r>
        <w:rPr>
          <w:b/>
          <w:bCs/>
        </w:rPr>
        <w:t xml:space="preserve">the crisis, not after.</w:t>
      </w:r>
      <w:r>
        <w:t xml:space="preserve"> </w:t>
      </w:r>
      <w:r>
        <w:rPr>
          <w:i/>
          <w:iCs/>
        </w:rPr>
        <w:t xml:space="preserve">(Will/Behavior)</w:t>
      </w:r>
      <w:r>
        <w:t xml:space="preserve"> </w:t>
      </w:r>
      <w:r>
        <w:t xml:space="preserve">The congregation grumbles in verse 18. They are not wrong to be frustrated — but they are directing their frustration at the wrong target. The failure was in verse 14, not in verse 15. The leaders’ defense of the oath in verses 18–21 is an act of integrity, and the congregation’s grumbling is a second failure layered on the first. In every community of faith, crises reveal whether seeking God is genuinely habitual or merely theoretical. The practical application is corporate: build the practice of seeking before acting — in church decisions, in elder deliberations, in family choices — so that the structure of decision-making requires inquiry rather than merely permitting it.</w:t>
      </w:r>
    </w:p>
    <w:p>
      <w:pPr>
        <w:pStyle w:val="BodyText"/>
      </w:pPr>
      <w:r>
        <w:rPr>
          <w:b/>
          <w:bCs/>
        </w:rPr>
        <w:t xml:space="preserve">5. Hold open the possibility that people who come to you with urgent requests may not be telling the whole truth — and let that awareness drive you back to prayer rather than to cynicism.</w:t>
      </w:r>
      <w:r>
        <w:t xml:space="preserve"> </w:t>
      </w:r>
      <w:r>
        <w:rPr>
          <w:i/>
          <w:iCs/>
        </w:rPr>
        <w:t xml:space="preserve">(Will/Behavior)</w:t>
      </w:r>
      <w:r>
        <w:t xml:space="preserve"> </w:t>
      </w:r>
      <w:r>
        <w:t xml:space="preserve">The Gibeonites were not simply clever — they were theologically sophisticated. They invoked the right name (v. 9:</w:t>
      </w:r>
      <w:r>
        <w:t xml:space="preserve"> </w:t>
      </w:r>
      <w:r>
        <w:rPr>
          <w:i/>
          <w:iCs/>
        </w:rPr>
        <w:t xml:space="preserve">“the name of the LORD your God”</w:t>
      </w:r>
      <w:r>
        <w:t xml:space="preserve">), they appealed to the right history (the exodus, Sihon, Og), and they manufactured the right evidence. The deception was designed to succeed precisely because it mimicked the form of authentic appeal. Believers and Christian leaders regularly encounter urgent requests and persuasive presentations. The lesson is not to become suspicious of everyone who presents a compelling case — it is that the very persuasiveness of a case is a signal to pause and seek, not to accelerate. The more convincing the evidence, the more important the prayer.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9 teaches that God’s sovereign purposes are not thwarted by human failure, but that human decisions made without His counsel produce real, durable, and costly consequences. The passage displays a God who does not intervene to prevent Israel’s uninquired treaty but who will, across centuries, hold the oath’s terms accountable — both when Israel keeps it (Joshua 10) and when a later king violates it (2 Samuel 21). This is a God who takes seriously both the freedom of His people to make decisions and the binding force of vows made in His name. The passage also teaches that God can accomplish purposes of grace through the consequences of disobedience: the Gibeonites are absorbed into sanctuary service, becoming permanent attendants at the place of Israel’s worship — a small but pointed preview of the nations being drawn into the presence of the living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emphasis on the</w:t>
      </w:r>
      <w:r>
        <w:t xml:space="preserve"> </w:t>
      </w:r>
      <w:r>
        <w:rPr>
          <w:i/>
          <w:iCs/>
        </w:rPr>
        <w:t xml:space="preserve">sovereignty of God and the total dependence of the creature</w:t>
      </w:r>
      <w:r>
        <w:t xml:space="preserve"> </w:t>
      </w:r>
      <w:r>
        <w:t xml:space="preserve">finds a vivid negative illustration here. Israel’s failure is not atheism — they are fighting God’s battles, they are in the land of promise — but it is practical atheism in the moment of decision: acting as though God’s knowledge and guidance are unnecessary when the evidence is already sufficient. The Reformed understanding of the</w:t>
      </w:r>
      <w:r>
        <w:t xml:space="preserve"> </w:t>
      </w:r>
      <w:r>
        <w:rPr>
          <w:i/>
          <w:iCs/>
        </w:rPr>
        <w:t xml:space="preserve">means of grace</w:t>
      </w:r>
      <w:r>
        <w:t xml:space="preserve"> </w:t>
      </w:r>
      <w:r>
        <w:t xml:space="preserve">is relevant: God has provided specific means by which His people are to seek Him, and bypassing those means — even in the name of reasonableness — is a failure of faith, not a neutral act. The passage also grounds the Reformed insistence that</w:t>
      </w:r>
      <w:r>
        <w:t xml:space="preserve"> </w:t>
      </w:r>
      <w:r>
        <w:rPr>
          <w:i/>
          <w:iCs/>
        </w:rPr>
        <w:t xml:space="preserve">obedience is better than strategy</w:t>
      </w:r>
      <w:r>
        <w:t xml:space="preserve">. Israel was commanded not to make covenants with Canaan’s peoples; no amount of evidence about the Gibeonites’ apparent origin changes that command. The greatest protection against the Gibeonite deception was not sharper inspection — it was a heart disposed to ask God before acting and to obey His word over its own conclusions.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plain lesson of Joshua 9 is this: when you stop asking God and start trusting your own inspection of the evidence, you are already in a treaty you did not mean to make — and it will cost more than it appeared to save. The question is never whether the evidence looks convincing. The question is whether you asked the One who already knows what the evidence conceals. Every binding entanglement in your life that you did not intend can probably be traced to a moment when the wineskins looked worn and the bread looked stale and you never knelt.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Gibeonites rather than Israel.</w:t>
      </w:r>
      <w:r>
        <w:t xml:space="preserve"> </w:t>
      </w:r>
      <w:r>
        <w:t xml:space="preserve">The Gibeonites’ deception is colorful and easy to develop — their disguise, their worn provisions, their shrewd theological rhetoric. Teachers can spend so much time on the Gibeonite strategy that Israel’s failure disappears from view. The Gibeonites are not the passage’s subject. Israel’s uninquired decision is. The Gibeonites simply create the conditions in which Israel’s real problem surfaces: they were already disposed to trust their own evidence. Keep the Gibeonites in the supporting role the text assigns them.</w:t>
      </w:r>
    </w:p>
    <w:p>
      <w:pPr>
        <w:numPr>
          <w:ilvl w:val="0"/>
          <w:numId w:val="1002"/>
        </w:numPr>
      </w:pPr>
      <w:r>
        <w:rPr>
          <w:b/>
          <w:bCs/>
        </w:rPr>
        <w:t xml:space="preserve">Treating verse 14 as a procedural failure rather than a spiritual posture.</w:t>
      </w:r>
      <w:r>
        <w:t xml:space="preserve"> </w:t>
      </w:r>
      <w:r>
        <w:t xml:space="preserve">“They didn’t ask the LORD”</w:t>
      </w:r>
      <w:r>
        <w:t xml:space="preserve"> </w:t>
      </w:r>
      <w:r>
        <w:t xml:space="preserve">is sometimes preached as</w:t>
      </w:r>
      <w:r>
        <w:t xml:space="preserve"> </w:t>
      </w:r>
      <w:r>
        <w:t xml:space="preserve">“remember to pray before making big decisions.”</w:t>
      </w:r>
      <w:r>
        <w:t xml:space="preserve"> </w:t>
      </w:r>
      <w:r>
        <w:t xml:space="preserve">This is not wrong but it is insufficient. The text implies that the habit of inquiry was absent, not merely that a step was skipped. The deeper issue is what Israel believed about the sufficiency of their own perception — and preaching must reach that level. Otherwise the application becomes a checklist rather than a heart transformation.</w:t>
      </w:r>
    </w:p>
    <w:p>
      <w:pPr>
        <w:numPr>
          <w:ilvl w:val="0"/>
          <w:numId w:val="1002"/>
        </w:numPr>
      </w:pPr>
      <w:r>
        <w:rPr>
          <w:b/>
          <w:bCs/>
        </w:rPr>
        <w:t xml:space="preserve">Undermining the binding force of the oath.</w:t>
      </w:r>
      <w:r>
        <w:t xml:space="preserve"> </w:t>
      </w:r>
      <w:r>
        <w:t xml:space="preserve">Some teachers, wanting to comfort people who have made similarly uninquired commitments, suggest that God graciously releases us from promises made under deception or incomplete information. Joshua 9 will not support that reading. The leaders’ declaration in verse 19 is unambiguous, and 2 Samuel 21 confirms it across four centuries. The pastoral comfort is not</w:t>
      </w:r>
      <w:r>
        <w:t xml:space="preserve"> </w:t>
      </w:r>
      <w:r>
        <w:t xml:space="preserve">“your oath doesn’t really bind you”</w:t>
      </w:r>
      <w:r>
        <w:t xml:space="preserve"> </w:t>
      </w:r>
      <w:r>
        <w:t xml:space="preserve">— it is</w:t>
      </w:r>
      <w:r>
        <w:t xml:space="preserve"> </w:t>
      </w:r>
      <w:r>
        <w:t xml:space="preserve">“God can bring grace and purpose even through the consequences of your uninquired decisions, just as He did with the Gibeonites at the altar.”</w:t>
      </w:r>
    </w:p>
    <w:p>
      <w:pPr>
        <w:numPr>
          <w:ilvl w:val="0"/>
          <w:numId w:val="1002"/>
        </w:numPr>
      </w:pPr>
      <w:r>
        <w:rPr>
          <w:b/>
          <w:bCs/>
        </w:rPr>
        <w:t xml:space="preserve">Missing the grace note at the end.</w:t>
      </w:r>
      <w:r>
        <w:t xml:space="preserve"> </w:t>
      </w:r>
      <w:r>
        <w:t xml:space="preserve">The Gibeonites survive and are assigned to sanctuary service —</w:t>
      </w:r>
      <w:r>
        <w:t xml:space="preserve"> </w:t>
      </w:r>
      <w:r>
        <w:rPr>
          <w:i/>
          <w:iCs/>
        </w:rPr>
        <w:t xml:space="preserve">“for the congregation and for the altar of the LORD.”</w:t>
      </w:r>
      <w:r>
        <w:t xml:space="preserve"> </w:t>
      </w:r>
      <w:r>
        <w:t xml:space="preserve">This detail is not incidental. Teachers who end the passage at the curse miss the passage’s own ending. Grace appears in unexpected places: a Canaanite people condemned to servitude end up stationed at the place of Israel’s worship. That is worth preaching.</w:t>
      </w:r>
    </w:p>
    <w:p>
      <w:pPr>
        <w:numPr>
          <w:ilvl w:val="0"/>
          <w:numId w:val="1002"/>
        </w:numPr>
      </w:pPr>
      <w:r>
        <w:rPr>
          <w:b/>
          <w:bCs/>
        </w:rPr>
        <w:t xml:space="preserve">Overapplying the passage to guidance methodology.</w:t>
      </w:r>
      <w:r>
        <w:t xml:space="preserve"> </w:t>
      </w:r>
      <w:r>
        <w:t xml:space="preserve">The temptation is to turn Joshua 9 into a sermon on</w:t>
      </w:r>
      <w:r>
        <w:t xml:space="preserve"> </w:t>
      </w:r>
      <w:r>
        <w:t xml:space="preserve">“five steps to hearing from God before you make a decision.”</w:t>
      </w:r>
      <w:r>
        <w:t xml:space="preserve"> </w:t>
      </w:r>
      <w:r>
        <w:t xml:space="preserve">The passage does not offer a method — it offers a mirror. The question it presses is not</w:t>
      </w:r>
      <w:r>
        <w:t xml:space="preserve"> </w:t>
      </w:r>
      <w:r>
        <w:rPr>
          <w:i/>
          <w:iCs/>
        </w:rPr>
        <w:t xml:space="preserve">“how do I seek God’s counsel?”</w:t>
      </w:r>
      <w:r>
        <w:t xml:space="preserve"> </w:t>
      </w:r>
      <w:r>
        <w:t xml:space="preserve">but</w:t>
      </w:r>
      <w:r>
        <w:t xml:space="preserve"> </w:t>
      </w:r>
      <w:r>
        <w:rPr>
          <w:i/>
          <w:iCs/>
        </w:rPr>
        <w:t xml:space="preserve">“why did I not seek it?”</w:t>
      </w:r>
      <w:r>
        <w:t xml:space="preserve"> </w:t>
      </w:r>
      <w:r>
        <w:t xml:space="preserve">Application that reaches only to behavior modification (pray before deciding) has not yet diagnosed the root: a belief that my inspection is sufficient, that God’s input is optional when the evidence is strong enough. Preach to that root.</w:t>
      </w:r>
    </w:p>
    <w:p>
      <w:pPr>
        <w:numPr>
          <w:ilvl w:val="0"/>
          <w:numId w:val="1002"/>
        </w:numPr>
      </w:pPr>
      <w:r>
        <w:rPr>
          <w:b/>
          <w:bCs/>
        </w:rPr>
        <w:t xml:space="preserve">Failing to note Israel’s corporate accountability.</w:t>
      </w:r>
      <w:r>
        <w:t xml:space="preserve"> </w:t>
      </w:r>
      <w:r>
        <w:t xml:space="preserve">The failure in verse 14 belongs to the leaders —</w:t>
      </w:r>
      <w:r>
        <w:t xml:space="preserve"> </w:t>
      </w:r>
      <w:r>
        <w:t xml:space="preserve">“the men of Israel”</w:t>
      </w:r>
      <w:r>
        <w:t xml:space="preserve"> </w:t>
      </w:r>
      <w:r>
        <w:t xml:space="preserve">— not to Joshua alone and not to a single individual. The congregation’s grumbling in verse 18 suggests they wanted to distance themselves from the decision, but they are bound by it. The corporate dimension of this failure is important for preaching to elders, boards, and ministry teams: uninquired decisions by leaders bind the whole community. The application is not only personal but structural — how does your community’s decision-making process require seeking God, rather than merely permitting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2026-07-14T21:02:16Z</dcterms:created>
  <dcterms:modified xsi:type="dcterms:W3CDTF">2026-07-14T21:02:16Z</dcterms:modified>
</cp:coreProperties>
</file>

<file path=docProps/custom.xml><?xml version="1.0" encoding="utf-8"?>
<Properties xmlns="http://schemas.openxmlformats.org/officeDocument/2006/custom-properties" xmlns:vt="http://schemas.openxmlformats.org/officeDocument/2006/docPropsVTypes"/>
</file>